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8"/>
      </w:tblGrid>
      <w:tr w:rsidR="006867C2" w:rsidRPr="006867C2" w:rsidTr="006867C2">
        <w:trPr>
          <w:jc w:val="right"/>
        </w:trPr>
        <w:tc>
          <w:tcPr>
            <w:tcW w:w="5068" w:type="dxa"/>
            <w:hideMark/>
          </w:tcPr>
          <w:p w:rsidR="006867C2" w:rsidRPr="006867C2" w:rsidRDefault="006867C2">
            <w:pPr>
              <w:pStyle w:val="a0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r w:rsidRPr="006867C2">
              <w:rPr>
                <w:rFonts w:ascii="Times New Roman" w:hAnsi="Times New Roman" w:cs="Times New Roman"/>
                <w:sz w:val="28"/>
              </w:rPr>
              <w:t>УТВЕРЖДЕНЫ</w:t>
            </w:r>
          </w:p>
          <w:p w:rsidR="006867C2" w:rsidRPr="006867C2" w:rsidRDefault="006867C2">
            <w:pPr>
              <w:pStyle w:val="a0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67C2">
              <w:rPr>
                <w:rFonts w:ascii="Times New Roman" w:hAnsi="Times New Roman" w:cs="Times New Roman"/>
                <w:sz w:val="28"/>
              </w:rPr>
              <w:t>приказом директора ГКУКО «Государственный архив Кемеровской области в г. Новокузнецке»</w:t>
            </w:r>
          </w:p>
          <w:p w:rsidR="006867C2" w:rsidRPr="006867C2" w:rsidRDefault="006867C2">
            <w:pPr>
              <w:pStyle w:val="a0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7C2">
              <w:rPr>
                <w:rFonts w:ascii="Times New Roman" w:hAnsi="Times New Roman" w:cs="Times New Roman"/>
                <w:sz w:val="28"/>
              </w:rPr>
              <w:t>от 20.02.2016 № 12</w:t>
            </w:r>
          </w:p>
        </w:tc>
      </w:tr>
      <w:bookmarkEnd w:id="0"/>
    </w:tbl>
    <w:p w:rsidR="002C3659" w:rsidRPr="000A608B" w:rsidRDefault="002C3659" w:rsidP="002C36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59" w:rsidRPr="000A608B" w:rsidRDefault="002C3659" w:rsidP="002C36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</w:t>
      </w:r>
    </w:p>
    <w:p w:rsidR="002C3659" w:rsidRPr="000A608B" w:rsidRDefault="002C3659" w:rsidP="002C36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рассмотрения запросов субъектов персональных данных </w:t>
      </w:r>
    </w:p>
    <w:p w:rsidR="002C3659" w:rsidRPr="000A608B" w:rsidRDefault="002C3659" w:rsidP="002C36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их представителей</w:t>
      </w:r>
    </w:p>
    <w:p w:rsidR="002C3659" w:rsidRPr="000A608B" w:rsidRDefault="002C3659" w:rsidP="002C365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59" w:rsidRPr="000A608B" w:rsidRDefault="002C3659" w:rsidP="002C365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государственного казенного учреждения Кемеровской области «Государственный архив Кемеровской области в г. Новокузнецке»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граждане, персональные данные которых обрабатываются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Архиве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предоставлением государственных услуг и исполнением государственных функций, имеют право на получение информации, касающейся обработки их персональных данных, в том числе содержащей:</w:t>
      </w:r>
    </w:p>
    <w:p w:rsidR="002C3659" w:rsidRPr="000A608B" w:rsidRDefault="002C3659" w:rsidP="002C365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Подтверждение факта обработки персональных данных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Архиве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659" w:rsidRPr="000A608B" w:rsidRDefault="002C3659" w:rsidP="002C365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Правовые основания и цели обработки персональных данных;</w:t>
      </w:r>
    </w:p>
    <w:p w:rsidR="002C3659" w:rsidRPr="000A608B" w:rsidRDefault="002C3659" w:rsidP="002C365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Применяемые способы обработки персональных данных;</w:t>
      </w:r>
    </w:p>
    <w:p w:rsidR="002C3659" w:rsidRPr="000A608B" w:rsidRDefault="002C3659" w:rsidP="002C365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Наименование и место нахождения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сведения о лицах, которые имеют доступ к персональным данным или которым могут быть раскрыты персональные данные на основании федерального закона;</w:t>
      </w:r>
    </w:p>
    <w:p w:rsidR="002C3659" w:rsidRPr="000A608B" w:rsidRDefault="002C3659" w:rsidP="002C365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2C3659" w:rsidRPr="000A608B" w:rsidRDefault="002C3659" w:rsidP="002C365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Сроки обработки персональных данных, в том числе сроки их хранения;</w:t>
      </w:r>
    </w:p>
    <w:p w:rsidR="002C3659" w:rsidRPr="000A608B" w:rsidRDefault="002C3659" w:rsidP="002C365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Порядок осуществления субъектом персональных данных прав, предусмотренных законодательством Российской Федерации в области персональных данных;</w:t>
      </w:r>
    </w:p>
    <w:p w:rsidR="002C3659" w:rsidRPr="000A608B" w:rsidRDefault="002C3659" w:rsidP="002C365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Информацию об осуществленной или предполагаемой трансграничной передаче данных;</w:t>
      </w:r>
    </w:p>
    <w:p w:rsidR="002C3659" w:rsidRPr="000A608B" w:rsidRDefault="002C3659" w:rsidP="002C365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Наименование организации или фамилию, имя, отчество и адрес лица, осуществляющего обработку персональных данных по поручению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обработка поручена или будет поручена такой организации или лицу;</w:t>
      </w:r>
    </w:p>
    <w:p w:rsidR="002C3659" w:rsidRPr="000A608B" w:rsidRDefault="002C3659" w:rsidP="002C365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Иные сведения, предусмотренные законодательством Российской Федерации в области персональных данных.</w:t>
      </w:r>
    </w:p>
    <w:p w:rsidR="002C3659" w:rsidRPr="000A608B" w:rsidRDefault="002C3659" w:rsidP="002C365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Лица, указанные в </w:t>
      </w:r>
      <w:hyperlink r:id="rId7" w:history="1">
        <w:r w:rsidRPr="000A60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 (далее - субъекты персональных данных), а также их представители имеют право на ознакомление с персональными данными, относящимися к соответствующему субъекту 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персональных данных, при обращении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в течение тридцати дней с даты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запроса.</w:t>
      </w:r>
    </w:p>
    <w:p w:rsidR="002C3659" w:rsidRPr="000A608B" w:rsidRDefault="002C3659" w:rsidP="002C365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Субъекты персональных данных, вправе требовать уточнения их персональных данных, их блокирования или уничтожения в случае, если персональные данные являются неполными, неактуальными,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2C3659" w:rsidRPr="000A608B" w:rsidRDefault="002C3659" w:rsidP="002C365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Сведения, указанные в </w:t>
      </w:r>
      <w:hyperlink r:id="rId8" w:history="1">
        <w:r w:rsidRPr="000A60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1.1</w:t>
        </w:r>
      </w:hyperlink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9" w:history="1">
        <w:r w:rsidRPr="000A60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 пункта 1</w:t>
        </w:r>
      </w:hyperlink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должны быть предоставлены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2C3659" w:rsidRPr="000A608B" w:rsidRDefault="002C3659" w:rsidP="002C365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2"/>
      <w:bookmarkEnd w:id="1"/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Сведения, указанные в </w:t>
      </w:r>
      <w:hyperlink r:id="rId10" w:history="1">
        <w:r w:rsidRPr="000A60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1.1</w:t>
        </w:r>
      </w:hyperlink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1" w:history="1">
        <w:r w:rsidRPr="000A60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 пункта 1</w:t>
        </w:r>
      </w:hyperlink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предоставляются субъекту персональных данных или его представителю уполномоченным должностным лицом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представителя. Запрос должен содержать:</w:t>
      </w:r>
    </w:p>
    <w:p w:rsidR="002C3659" w:rsidRPr="000A608B" w:rsidRDefault="002C3659" w:rsidP="002C365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2C3659" w:rsidRPr="000A608B" w:rsidRDefault="002C3659" w:rsidP="002C365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Сведения, подтверждающие участие субъекта персональных данных в правоотношениях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Архивом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сведения, иным образом подтверждающие факт обработки персональных данных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Архиве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</w:t>
      </w:r>
      <w:hyperlink r:id="rId12" w:history="1">
        <w:r w:rsidRPr="000A60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659" w:rsidRPr="000A608B" w:rsidRDefault="002C3659" w:rsidP="002C365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5"/>
      <w:bookmarkEnd w:id="2"/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случае, если сведения, указанные в </w:t>
      </w:r>
      <w:hyperlink r:id="rId13" w:history="1">
        <w:r w:rsidRPr="000A60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1.1</w:t>
        </w:r>
      </w:hyperlink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4" w:history="1">
        <w:r w:rsidRPr="000A60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 пункта 1</w:t>
        </w:r>
      </w:hyperlink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стороной которого либо выгодоприобретателем или поручителем по которому является субъект персональных данных.</w:t>
      </w:r>
    </w:p>
    <w:p w:rsidR="002C3659" w:rsidRPr="000A608B" w:rsidRDefault="002C3659" w:rsidP="002C365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6"/>
      <w:bookmarkEnd w:id="3"/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Субъект персональных данных вправе обратиться повторно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направить повторный запрос в целях получения сведений, указанных в </w:t>
      </w:r>
      <w:hyperlink r:id="rId15" w:history="1">
        <w:r w:rsidRPr="000A60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1.1</w:t>
        </w:r>
      </w:hyperlink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6" w:history="1">
        <w:r w:rsidRPr="000A60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 пункта 1</w:t>
        </w:r>
      </w:hyperlink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а также в целях ознакомления с обрабатываемыми персональными данными до истечения срока, указанного в </w:t>
      </w:r>
      <w:hyperlink w:anchor="Par5" w:history="1">
        <w:r w:rsidRPr="000A60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настоящих Правил,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</w:t>
      </w:r>
      <w:hyperlink w:anchor="Par2" w:history="1">
        <w:r w:rsidRPr="000A60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настоящих Правил, должен содержать обоснование направления повторного запроса.</w:t>
      </w:r>
    </w:p>
    <w:p w:rsidR="002C3659" w:rsidRPr="000A608B" w:rsidRDefault="002C3659" w:rsidP="002C365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отказать субъекту персональных данных в выполнении повторного запроса, не соответствующего условиям, предусмотренным </w:t>
      </w:r>
      <w:hyperlink w:anchor="Par5" w:history="1">
        <w:r w:rsidRPr="000A60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пунктами </w:t>
        </w:r>
      </w:hyperlink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6 - 7 настоящих Правил. Такой отказ должен быть мотивированным. Обязанность представления доказательств обоснованности отказа в выполнении повторного запроса лежит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0192" w:rsidRDefault="002C3659" w:rsidP="003A1A78">
      <w:pPr>
        <w:autoSpaceDE w:val="0"/>
        <w:autoSpaceDN w:val="0"/>
        <w:adjustRightInd w:val="0"/>
        <w:spacing w:after="0" w:line="276" w:lineRule="auto"/>
        <w:ind w:firstLine="540"/>
        <w:jc w:val="both"/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Право субъекта персональных данных на доступ к его персональным данным может быть ограничено в соответствии с федеральными законами, в том числе если доступ субъекта персональных данных к его персональным данным нарушает права и законные интересы третьих лиц.</w:t>
      </w:r>
    </w:p>
    <w:sectPr w:rsidR="00EF0192" w:rsidSect="00D8492D">
      <w:headerReference w:type="even" r:id="rId17"/>
      <w:headerReference w:type="default" r:id="rId18"/>
      <w:pgSz w:w="11907" w:h="16840" w:code="9"/>
      <w:pgMar w:top="851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F3A" w:rsidRDefault="00161F3A">
      <w:pPr>
        <w:spacing w:after="0" w:line="240" w:lineRule="auto"/>
      </w:pPr>
      <w:r>
        <w:separator/>
      </w:r>
    </w:p>
  </w:endnote>
  <w:endnote w:type="continuationSeparator" w:id="0">
    <w:p w:rsidR="00161F3A" w:rsidRDefault="0016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F3A" w:rsidRDefault="00161F3A">
      <w:pPr>
        <w:spacing w:after="0" w:line="240" w:lineRule="auto"/>
      </w:pPr>
      <w:r>
        <w:separator/>
      </w:r>
    </w:p>
  </w:footnote>
  <w:footnote w:type="continuationSeparator" w:id="0">
    <w:p w:rsidR="00161F3A" w:rsidRDefault="0016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1F5" w:rsidRDefault="003A1A78" w:rsidP="000C027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D821F5" w:rsidRDefault="00161F3A">
    <w:pPr>
      <w:pStyle w:val="a6"/>
      <w:ind w:right="360"/>
    </w:pPr>
  </w:p>
  <w:p w:rsidR="00D821F5" w:rsidRDefault="00161F3A"/>
  <w:p w:rsidR="00D821F5" w:rsidRPr="002F58D8" w:rsidRDefault="00161F3A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1F5" w:rsidRDefault="003A1A78" w:rsidP="00A10F8B">
    <w:pPr>
      <w:pStyle w:val="a6"/>
      <w:framePr w:wrap="around" w:vAnchor="text" w:hAnchor="margin" w:xAlign="center" w:y="-86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867C2">
      <w:rPr>
        <w:rStyle w:val="a8"/>
        <w:noProof/>
      </w:rPr>
      <w:t>3</w:t>
    </w:r>
    <w:r>
      <w:rPr>
        <w:rStyle w:val="a8"/>
      </w:rPr>
      <w:fldChar w:fldCharType="end"/>
    </w:r>
  </w:p>
  <w:p w:rsidR="00D821F5" w:rsidRDefault="00161F3A" w:rsidP="00D23CC3">
    <w:pPr>
      <w:pStyle w:val="a6"/>
      <w:framePr w:wrap="around" w:vAnchor="text" w:hAnchor="margin" w:xAlign="right" w:y="1"/>
      <w:jc w:val="center"/>
      <w:rPr>
        <w:rStyle w:val="a8"/>
      </w:rPr>
    </w:pPr>
  </w:p>
  <w:p w:rsidR="00D821F5" w:rsidRPr="002F58D8" w:rsidRDefault="00161F3A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83550"/>
    <w:multiLevelType w:val="multilevel"/>
    <w:tmpl w:val="232CD94C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a0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1571" w:firstLine="851"/>
      </w:pPr>
    </w:lvl>
    <w:lvl w:ilvl="4">
      <w:start w:val="1"/>
      <w:numFmt w:val="decimal"/>
      <w:pStyle w:val="Heading5"/>
      <w:suff w:val="space"/>
      <w:lvlText w:val="%1.%2.%3.%4.%5."/>
      <w:lvlJc w:val="left"/>
      <w:pPr>
        <w:ind w:left="1571" w:firstLine="851"/>
      </w:pPr>
    </w:lvl>
    <w:lvl w:ilvl="5">
      <w:start w:val="1"/>
      <w:numFmt w:val="decimal"/>
      <w:pStyle w:val="Heading6"/>
      <w:suff w:val="space"/>
      <w:lvlText w:val="%1.%2.%3.%4.%5.%6."/>
      <w:lvlJc w:val="left"/>
      <w:pPr>
        <w:ind w:left="1571" w:firstLine="851"/>
      </w:p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1571" w:firstLine="851"/>
      </w:p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1571" w:firstLine="851"/>
      </w:p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1571" w:firstLine="851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59"/>
    <w:rsid w:val="00161F3A"/>
    <w:rsid w:val="002C3659"/>
    <w:rsid w:val="003A1A78"/>
    <w:rsid w:val="006867C2"/>
    <w:rsid w:val="00E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D181F-5F50-409F-AF36-7B377418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C3659"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semiHidden/>
    <w:unhideWhenUsed/>
    <w:rsid w:val="002C3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2C3659"/>
  </w:style>
  <w:style w:type="character" w:styleId="a8">
    <w:name w:val="page number"/>
    <w:basedOn w:val="a3"/>
    <w:rsid w:val="002C3659"/>
  </w:style>
  <w:style w:type="paragraph" w:customStyle="1" w:styleId="a">
    <w:name w:val="Раздел"/>
    <w:basedOn w:val="a2"/>
    <w:rsid w:val="006867C2"/>
    <w:pPr>
      <w:keepNext/>
      <w:numPr>
        <w:numId w:val="1"/>
      </w:numPr>
      <w:spacing w:before="24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9">
    <w:name w:val="Пункт Знак"/>
    <w:link w:val="a0"/>
    <w:locked/>
    <w:rsid w:val="006867C2"/>
    <w:rPr>
      <w:sz w:val="24"/>
      <w:szCs w:val="24"/>
    </w:rPr>
  </w:style>
  <w:style w:type="paragraph" w:customStyle="1" w:styleId="a0">
    <w:name w:val="Пункт"/>
    <w:basedOn w:val="a2"/>
    <w:link w:val="a9"/>
    <w:rsid w:val="006867C2"/>
    <w:pPr>
      <w:numPr>
        <w:ilvl w:val="1"/>
        <w:numId w:val="1"/>
      </w:numPr>
      <w:spacing w:after="0" w:line="240" w:lineRule="auto"/>
    </w:pPr>
    <w:rPr>
      <w:sz w:val="24"/>
      <w:szCs w:val="24"/>
    </w:rPr>
  </w:style>
  <w:style w:type="paragraph" w:customStyle="1" w:styleId="a1">
    <w:name w:val="Подпункт"/>
    <w:basedOn w:val="a2"/>
    <w:rsid w:val="006867C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5">
    <w:name w:val="Heading 5"/>
    <w:basedOn w:val="a2"/>
    <w:rsid w:val="006867C2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6">
    <w:name w:val="Heading 6"/>
    <w:basedOn w:val="a2"/>
    <w:rsid w:val="006867C2"/>
    <w:pPr>
      <w:numPr>
        <w:ilvl w:val="5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7">
    <w:name w:val="Heading 7"/>
    <w:basedOn w:val="a2"/>
    <w:rsid w:val="006867C2"/>
    <w:pPr>
      <w:numPr>
        <w:ilvl w:val="6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 8"/>
    <w:basedOn w:val="a2"/>
    <w:rsid w:val="006867C2"/>
    <w:pPr>
      <w:numPr>
        <w:ilvl w:val="7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 9"/>
    <w:basedOn w:val="a2"/>
    <w:rsid w:val="006867C2"/>
    <w:pPr>
      <w:numPr>
        <w:ilvl w:val="8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2"/>
    <w:link w:val="ab"/>
    <w:uiPriority w:val="99"/>
    <w:semiHidden/>
    <w:unhideWhenUsed/>
    <w:rsid w:val="00686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uiPriority w:val="99"/>
    <w:semiHidden/>
    <w:rsid w:val="00686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D2A4BC589B814DD57B4418E593D52D85F6969AD7DA9D8C537B09192E5711E486BBEAB18C983BSCa4I" TargetMode="External"/><Relationship Id="rId13" Type="http://schemas.openxmlformats.org/officeDocument/2006/relationships/hyperlink" Target="consultantplus://offline/ref=B42FD2A4BC589B814DD57B4418E593D52D85F6969AD7DA9D8C537B09192E5711E486BBEAB18C983BSCa4I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D2A4BC589B814DD57B4418E593D52D85F6969AD7DA9D8C537B09192E5711E486BBEAB18C983BSCa7I" TargetMode="External"/><Relationship Id="rId12" Type="http://schemas.openxmlformats.org/officeDocument/2006/relationships/hyperlink" Target="consultantplus://offline/ref=B42FD2A4BC589B814DD57B4418E593D52D85FF9090D0DA9D8C537B0919S2aE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2FD2A4BC589B814DD57B4418E593D52D85F6969AD7DA9D8C537B09192E5711E486BBEAB18C983ASCa7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42FD2A4BC589B814DD57B4418E593D52D85F6969AD7DA9D8C537B09192E5711E486BBEAB18C983ASCa7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42FD2A4BC589B814DD57B4418E593D52D85F6969AD7DA9D8C537B09192E5711E486BBEAB18C983BSCa4I" TargetMode="External"/><Relationship Id="rId10" Type="http://schemas.openxmlformats.org/officeDocument/2006/relationships/hyperlink" Target="consultantplus://offline/ref=B42FD2A4BC589B814DD57B4418E593D52D85F6969AD7DA9D8C537B09192E5711E486BBEAB18C983BSCa4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2FD2A4BC589B814DD57B4418E593D52D85F6969AD7DA9D8C537B09192E5711E486BBEAB18C983ASCa7I" TargetMode="External"/><Relationship Id="rId14" Type="http://schemas.openxmlformats.org/officeDocument/2006/relationships/hyperlink" Target="consultantplus://offline/ref=B42FD2A4BC589B814DD57B4418E593D52D85F6969AD7DA9D8C537B09192E5711E486BBEAB18C983ASCa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1056</Words>
  <Characters>6022</Characters>
  <Application>Microsoft Office Word</Application>
  <DocSecurity>0</DocSecurity>
  <Lines>50</Lines>
  <Paragraphs>14</Paragraphs>
  <ScaleCrop>false</ScaleCrop>
  <Company/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 Екатерина</dc:creator>
  <cp:keywords/>
  <dc:description/>
  <cp:lastModifiedBy>Вдовина Екатерина</cp:lastModifiedBy>
  <cp:revision>4</cp:revision>
  <cp:lastPrinted>2016-02-17T02:57:00Z</cp:lastPrinted>
  <dcterms:created xsi:type="dcterms:W3CDTF">2016-02-17T01:51:00Z</dcterms:created>
  <dcterms:modified xsi:type="dcterms:W3CDTF">2016-02-17T02:57:00Z</dcterms:modified>
</cp:coreProperties>
</file>